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5-431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-2301/2023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обстоятельств, препятствующих назначению административного наказания в виде обязательных работ и административного ареста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наличие социальной инвалидности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сто 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0412365400235004312420129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0412365400235004312420129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2370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5D06-9569-4154-B769-09988A53FE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